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Declaration of Publisher and Printer authenticated by DCO (original to be presented at the time of audit)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Registration Certificate issued by the Press Registrar, PID (original to be presented at the time of audit)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NTN Certificate of Newspaper/Periodical showing the name of Publisher and Publication (original to be presented at the time of audit)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Regularity Certificate (Original to be presented at the time of audit)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Receipt and NOC of Press Council of Pakistan fee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Circulation Register/Agency Register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Cash Book, Ledger and Vouchers etc.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Subscriber Register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Receipt and Bill Books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Balance sheet providing Profit and Loss Accounts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Press bills and Receipts original with photo copies thereof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Specimen copies of all issues during the audit period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List of employees indicating their salaries along with copies of CNICs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Agent statement (original)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List of complimentary copies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Attested copies of Electricity bills of the office for the audit period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Attested copies of telephone bills of the office for audit period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Rent deed if office of the publication is in a rented building and bills are in the name of owner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>Affidavit certifying that all the information and documents given by the publisher are correct to the best of his knowledge. Forgery/discrepancy of documents and facts/figures shall lead to initiation of legal proceeding as per rules.</w:t>
      </w:r>
    </w:p>
    <w:p w:rsidR="00534099" w:rsidRPr="00534099" w:rsidRDefault="00534099" w:rsidP="005340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ind w:left="1050"/>
        <w:rPr>
          <w:color w:val="444444"/>
        </w:rPr>
      </w:pPr>
      <w:r w:rsidRPr="00534099">
        <w:rPr>
          <w:color w:val="444444"/>
        </w:rPr>
        <w:t xml:space="preserve">Audit </w:t>
      </w:r>
      <w:proofErr w:type="spellStart"/>
      <w:r w:rsidRPr="00534099">
        <w:rPr>
          <w:color w:val="444444"/>
        </w:rPr>
        <w:t>proforma</w:t>
      </w:r>
      <w:proofErr w:type="spellEnd"/>
    </w:p>
    <w:p w:rsidR="004B443A" w:rsidRPr="00534099" w:rsidRDefault="004B443A">
      <w:pPr>
        <w:rPr>
          <w:rFonts w:ascii="Times New Roman" w:hAnsi="Times New Roman" w:cs="Times New Roman"/>
          <w:sz w:val="24"/>
          <w:szCs w:val="24"/>
        </w:rPr>
      </w:pPr>
    </w:p>
    <w:sectPr w:rsidR="004B443A" w:rsidRPr="00534099" w:rsidSect="004B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31"/>
    <w:multiLevelType w:val="multilevel"/>
    <w:tmpl w:val="003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099"/>
    <w:rsid w:val="004B443A"/>
    <w:rsid w:val="0053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2020-09-17T12:03:00Z</dcterms:created>
  <dcterms:modified xsi:type="dcterms:W3CDTF">2020-09-17T12:04:00Z</dcterms:modified>
</cp:coreProperties>
</file>